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7231" w:rsidRDefault="005A3582" w:rsidP="00CE525E">
      <w:pPr>
        <w:pStyle w:val="NormalWeb"/>
        <w:ind w:left="284" w:right="284"/>
        <w:jc w:val="center"/>
      </w:pPr>
      <w:r>
        <w:rPr>
          <w:noProof/>
        </w:rPr>
        <w:drawing>
          <wp:inline distT="0" distB="0" distL="0" distR="0">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A63A6B" w:rsidRPr="00FB1B13" w:rsidRDefault="00A63A6B" w:rsidP="00A63A6B">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63A6B" w:rsidRPr="00FB1B13" w:rsidRDefault="00F176AE" w:rsidP="00A63A6B">
      <w:pPr>
        <w:pStyle w:val="NormalWeb"/>
        <w:jc w:val="center"/>
        <w:rPr>
          <w:rFonts w:ascii="Arial" w:hAnsi="Arial" w:cs="Arial"/>
          <w:bCs/>
          <w:color w:val="1E4193"/>
          <w:lang w:val="en-US"/>
        </w:rPr>
      </w:pPr>
      <w:r w:rsidRPr="00F176AE">
        <w:rPr>
          <w:rFonts w:ascii="Arial" w:hAnsi="Arial" w:cs="Arial"/>
          <w:bCs/>
          <w:color w:val="1E4193"/>
          <w:lang w:val="en-US"/>
        </w:rPr>
        <w:t>Executive Assistant</w:t>
      </w:r>
      <w:r>
        <w:rPr>
          <w:rFonts w:ascii="Arial" w:hAnsi="Arial" w:cs="Arial"/>
          <w:bCs/>
          <w:color w:val="1E4193"/>
          <w:lang w:val="en-US"/>
        </w:rPr>
        <w:t xml:space="preserve"> to </w:t>
      </w:r>
      <w:proofErr w:type="spellStart"/>
      <w:r>
        <w:rPr>
          <w:rFonts w:ascii="Arial" w:hAnsi="Arial" w:cs="Arial"/>
          <w:bCs/>
          <w:color w:val="1E4193"/>
          <w:lang w:val="en-US"/>
        </w:rPr>
        <w:t>Defence</w:t>
      </w:r>
      <w:proofErr w:type="spellEnd"/>
      <w:r>
        <w:rPr>
          <w:rFonts w:ascii="Arial" w:hAnsi="Arial" w:cs="Arial"/>
          <w:bCs/>
          <w:color w:val="1E4193"/>
          <w:lang w:val="en-US"/>
        </w:rPr>
        <w:t xml:space="preserve"> </w:t>
      </w:r>
      <w:r w:rsidR="0055593F">
        <w:rPr>
          <w:rFonts w:ascii="Arial" w:hAnsi="Arial" w:cs="Arial"/>
          <w:bCs/>
          <w:color w:val="1E4193"/>
          <w:lang w:val="en-US"/>
        </w:rPr>
        <w:t>Adviser</w:t>
      </w:r>
      <w:r w:rsidR="0055593F" w:rsidRPr="00F176AE">
        <w:rPr>
          <w:rFonts w:ascii="Arial" w:hAnsi="Arial" w:cs="Arial"/>
          <w:bCs/>
          <w:color w:val="1E4193"/>
          <w:lang w:val="en-US"/>
        </w:rPr>
        <w:t xml:space="preserve"> –</w:t>
      </w:r>
      <w:r w:rsidR="006222BD" w:rsidRPr="00F176AE">
        <w:rPr>
          <w:rFonts w:ascii="Arial" w:hAnsi="Arial" w:cs="Arial"/>
          <w:bCs/>
          <w:color w:val="1E4193"/>
          <w:lang w:val="en-US"/>
        </w:rPr>
        <w:t xml:space="preserve"> </w:t>
      </w:r>
      <w:proofErr w:type="spellStart"/>
      <w:r w:rsidRPr="00F176AE">
        <w:rPr>
          <w:rFonts w:ascii="Arial" w:hAnsi="Arial" w:cs="Arial"/>
          <w:bCs/>
          <w:color w:val="1E4193"/>
          <w:lang w:val="en-US"/>
        </w:rPr>
        <w:t>Defence</w:t>
      </w:r>
      <w:proofErr w:type="spellEnd"/>
      <w:r w:rsidR="006222BD" w:rsidRPr="00F176AE">
        <w:rPr>
          <w:rFonts w:ascii="Arial" w:hAnsi="Arial" w:cs="Arial"/>
          <w:bCs/>
          <w:color w:val="1E4193"/>
          <w:lang w:val="en-US"/>
        </w:rPr>
        <w:t xml:space="preserve"> Section</w:t>
      </w:r>
    </w:p>
    <w:p w:rsidR="00FB1B13" w:rsidRPr="00F176AE" w:rsidRDefault="00FB1B13" w:rsidP="009019B2">
      <w:pPr>
        <w:jc w:val="both"/>
      </w:pPr>
      <w:r w:rsidRPr="00F176AE">
        <w:t xml:space="preserve">The Australian </w:t>
      </w:r>
      <w:r w:rsidR="006222BD" w:rsidRPr="00F176AE">
        <w:t xml:space="preserve">High Commission in Kuala Lumpur </w:t>
      </w:r>
      <w:r w:rsidRPr="00F176AE">
        <w:t xml:space="preserve">invites applications for the position of </w:t>
      </w:r>
      <w:r w:rsidR="00F176AE" w:rsidRPr="00F176AE">
        <w:rPr>
          <w:bCs/>
          <w:lang w:val="en-US"/>
        </w:rPr>
        <w:t xml:space="preserve">Executive </w:t>
      </w:r>
      <w:r w:rsidR="00EC3850" w:rsidRPr="00F176AE">
        <w:rPr>
          <w:bCs/>
          <w:lang w:val="en-US"/>
        </w:rPr>
        <w:t>Assistant</w:t>
      </w:r>
      <w:r w:rsidR="006222BD" w:rsidRPr="00F176AE">
        <w:t xml:space="preserve"> </w:t>
      </w:r>
      <w:r w:rsidR="00EC3850">
        <w:t>to the Defence Adviser with</w:t>
      </w:r>
      <w:r w:rsidR="006222BD" w:rsidRPr="00F176AE">
        <w:t xml:space="preserve">in the </w:t>
      </w:r>
      <w:r w:rsidR="00F176AE" w:rsidRPr="00F176AE">
        <w:t>Defence</w:t>
      </w:r>
      <w:r w:rsidR="006222BD" w:rsidRPr="00F176AE">
        <w:t xml:space="preserve"> Section </w:t>
      </w:r>
      <w:r w:rsidR="00EF1C0B">
        <w:t xml:space="preserve">to commence </w:t>
      </w:r>
      <w:r w:rsidR="00BC50FA">
        <w:t>not later than 14 December 2020.</w:t>
      </w:r>
    </w:p>
    <w:p w:rsidR="00FB1B13" w:rsidRPr="00F176AE" w:rsidRDefault="00FB1B13" w:rsidP="009019B2">
      <w:pPr>
        <w:jc w:val="both"/>
      </w:pPr>
    </w:p>
    <w:p w:rsidR="001F382E" w:rsidRPr="00F176AE" w:rsidRDefault="001F382E" w:rsidP="009019B2">
      <w:pPr>
        <w:jc w:val="both"/>
      </w:pPr>
      <w:r w:rsidRPr="00F176AE">
        <w:t xml:space="preserve">The terms of employment will be in accordance with the </w:t>
      </w:r>
      <w:r w:rsidR="006222BD" w:rsidRPr="00F176AE">
        <w:t xml:space="preserve">Kuala Lumpur </w:t>
      </w:r>
      <w:r w:rsidRPr="00F176AE">
        <w:t xml:space="preserve">Based Terms and Conditions of Employment. Employment will be offered on a </w:t>
      </w:r>
      <w:r w:rsidR="00F176AE" w:rsidRPr="00F176AE">
        <w:rPr>
          <w:rFonts w:eastAsia="Calibri"/>
          <w:lang w:eastAsia="en-US"/>
        </w:rPr>
        <w:t>contract basis for an initial two-year period with the possibility of renewal</w:t>
      </w:r>
      <w:r w:rsidRPr="00F176AE">
        <w:t xml:space="preserve">, </w:t>
      </w:r>
      <w:r w:rsidR="002170E2" w:rsidRPr="00F176AE">
        <w:t xml:space="preserve">at the </w:t>
      </w:r>
      <w:r w:rsidR="003E50BA" w:rsidRPr="00F176AE">
        <w:t>LE</w:t>
      </w:r>
      <w:r w:rsidR="00F176AE" w:rsidRPr="00F176AE">
        <w:t>3</w:t>
      </w:r>
      <w:r w:rsidR="003E50BA" w:rsidRPr="00F176AE">
        <w:t xml:space="preserve"> Level </w:t>
      </w:r>
      <w:r w:rsidRPr="00F176AE">
        <w:t xml:space="preserve">with an annual salary of </w:t>
      </w:r>
      <w:r w:rsidR="009D35FC">
        <w:t>RM50,484</w:t>
      </w:r>
      <w:r w:rsidR="00153FDE" w:rsidRPr="008E6700">
        <w:t xml:space="preserve"> to RM</w:t>
      </w:r>
      <w:r w:rsidR="009D35FC">
        <w:t xml:space="preserve">54,636 </w:t>
      </w:r>
      <w:r w:rsidR="00512DEE" w:rsidRPr="008E6700">
        <w:t>(12</w:t>
      </w:r>
      <w:r w:rsidR="00153FDE" w:rsidRPr="008E6700">
        <w:t xml:space="preserve"> months)</w:t>
      </w:r>
      <w:r w:rsidRPr="008E6700">
        <w:t>.</w:t>
      </w:r>
      <w:r w:rsidR="00F176AE" w:rsidRPr="008E6700">
        <w:t xml:space="preserve"> In addition, a further </w:t>
      </w:r>
      <w:r w:rsidR="00BB6359">
        <w:t>RM4500.00</w:t>
      </w:r>
      <w:r w:rsidR="00F176AE" w:rsidRPr="00F176AE">
        <w:t xml:space="preserve"> </w:t>
      </w:r>
      <w:r w:rsidR="00DC5F4E">
        <w:t>will</w:t>
      </w:r>
      <w:r w:rsidR="00D54057">
        <w:t xml:space="preserve"> be paid </w:t>
      </w:r>
      <w:r w:rsidR="00BB6359">
        <w:t>monthly</w:t>
      </w:r>
      <w:r w:rsidR="00D54057">
        <w:t xml:space="preserve"> upon successfully attaining a secret security clearance.</w:t>
      </w:r>
      <w:r w:rsidR="00D54057" w:rsidRPr="00FD6C21">
        <w:t xml:space="preserve"> </w:t>
      </w:r>
      <w:r w:rsidR="00FD6C21" w:rsidRPr="00FD6C21">
        <w:rPr>
          <w:rFonts w:ascii="Arial" w:hAnsi="Arial" w:cs="Arial"/>
        </w:rPr>
        <w:t xml:space="preserve"> </w:t>
      </w:r>
      <w:r w:rsidR="00FD6C21" w:rsidRPr="00FD6C21">
        <w:t>Salary will</w:t>
      </w:r>
      <w:r w:rsidR="00FD6C21" w:rsidRPr="00FD6C21">
        <w:rPr>
          <w:bCs/>
        </w:rPr>
        <w:t xml:space="preserve"> include</w:t>
      </w:r>
      <w:r w:rsidR="00FD6C21" w:rsidRPr="00FD6C21">
        <w:rPr>
          <w:lang w:val="en-US"/>
        </w:rPr>
        <w:t xml:space="preserve"> medical, superannuation, flex-time and other benefits.</w:t>
      </w:r>
      <w:r w:rsidRPr="00F176AE">
        <w:t xml:space="preserve"> Continued employment is subject to successful completion of a </w:t>
      </w:r>
      <w:r w:rsidR="00CC6388">
        <w:t>six (</w:t>
      </w:r>
      <w:r w:rsidR="00B4476E" w:rsidRPr="00F176AE">
        <w:t>6</w:t>
      </w:r>
      <w:r w:rsidR="00CC6388">
        <w:t>)</w:t>
      </w:r>
      <w:r w:rsidRPr="00F176AE">
        <w:t xml:space="preserve"> month probation period.</w:t>
      </w:r>
    </w:p>
    <w:p w:rsidR="005A3582" w:rsidRDefault="005A3582" w:rsidP="009019B2">
      <w:pPr>
        <w:jc w:val="both"/>
      </w:pPr>
    </w:p>
    <w:p w:rsidR="00CC6388" w:rsidRDefault="00CC6388" w:rsidP="009019B2">
      <w:pPr>
        <w:tabs>
          <w:tab w:val="left" w:pos="1440"/>
          <w:tab w:val="left" w:pos="4320"/>
        </w:tabs>
        <w:jc w:val="both"/>
      </w:pPr>
      <w:r w:rsidRPr="00FB1B13">
        <w:t xml:space="preserve">The </w:t>
      </w:r>
      <w:r>
        <w:t>Australian High Commission in Kuala Lumpur w</w:t>
      </w:r>
      <w:r w:rsidRPr="00C615AA">
        <w:t xml:space="preserve">ill not be responsible for any costs incurred </w:t>
      </w:r>
      <w:r>
        <w:t>on</w:t>
      </w:r>
      <w:r w:rsidRPr="00C615AA">
        <w:t xml:space="preserve"> relocation </w:t>
      </w:r>
      <w:r>
        <w:t>or</w:t>
      </w:r>
      <w:r w:rsidRPr="00C615AA">
        <w:t xml:space="preserve"> </w:t>
      </w:r>
      <w:r>
        <w:t xml:space="preserve">accommodation arrangements, </w:t>
      </w:r>
      <w:r w:rsidRPr="00C615AA">
        <w:t xml:space="preserve">nor the return of the </w:t>
      </w:r>
      <w:r>
        <w:t>successful applicant</w:t>
      </w:r>
      <w:r w:rsidRPr="00C615AA">
        <w:t xml:space="preserve"> to their country of origin at the end of the contract.</w:t>
      </w:r>
      <w:r>
        <w:t xml:space="preserve"> A medical examination, referee and probity checks, including the successful candidate’s evidence of entitlement to work in Malaysia will be required prior to commencing duty with the High Commission.</w:t>
      </w:r>
    </w:p>
    <w:p w:rsidR="008578C0" w:rsidRDefault="008578C0" w:rsidP="009019B2">
      <w:pPr>
        <w:tabs>
          <w:tab w:val="left" w:pos="1440"/>
          <w:tab w:val="left" w:pos="4320"/>
        </w:tabs>
        <w:jc w:val="both"/>
      </w:pPr>
    </w:p>
    <w:p w:rsidR="00CE525E" w:rsidRDefault="00CE525E" w:rsidP="009019B2">
      <w:pPr>
        <w:tabs>
          <w:tab w:val="left" w:pos="1440"/>
          <w:tab w:val="left" w:pos="4320"/>
        </w:tabs>
        <w:jc w:val="both"/>
      </w:pPr>
    </w:p>
    <w:p w:rsidR="00CE525E" w:rsidRPr="008578C0" w:rsidRDefault="00CE525E" w:rsidP="00CE525E">
      <w:pPr>
        <w:autoSpaceDE w:val="0"/>
        <w:autoSpaceDN w:val="0"/>
        <w:adjustRightInd w:val="0"/>
        <w:jc w:val="both"/>
        <w:rPr>
          <w:rFonts w:ascii="Arial" w:hAnsi="Arial" w:cs="Arial"/>
          <w:b/>
          <w:bCs/>
          <w:color w:val="7030A0"/>
        </w:rPr>
      </w:pPr>
      <w:r w:rsidRPr="008578C0">
        <w:rPr>
          <w:rFonts w:ascii="Arial" w:hAnsi="Arial" w:cs="Arial"/>
          <w:b/>
          <w:bCs/>
          <w:color w:val="7030A0"/>
        </w:rPr>
        <w:t>About the Department of Defence</w:t>
      </w:r>
    </w:p>
    <w:p w:rsidR="00CE525E" w:rsidRDefault="00CE525E" w:rsidP="00CE525E">
      <w:pPr>
        <w:autoSpaceDE w:val="0"/>
        <w:autoSpaceDN w:val="0"/>
        <w:adjustRightInd w:val="0"/>
        <w:jc w:val="both"/>
        <w:rPr>
          <w:b/>
          <w:bCs/>
        </w:rPr>
      </w:pPr>
    </w:p>
    <w:p w:rsidR="00CE525E" w:rsidRDefault="00CE525E" w:rsidP="00CE525E">
      <w:pPr>
        <w:autoSpaceDE w:val="0"/>
        <w:autoSpaceDN w:val="0"/>
        <w:adjustRightInd w:val="0"/>
        <w:jc w:val="both"/>
      </w:pPr>
      <w:r>
        <w:t>The primary role of Defence is to defend Australia and its national interests against armed attack. In doing so, Defence serves the Government of the day and is accountable to the Commonwealth Parliament, which represents the Australian people to efficiently and effectively carry out the Government's defence policy. Australia's Defence policy is founded on the principle of self-reliance in the direct defence of Australia, but with a capacity to do more where there are shared interests with partners and allies.</w:t>
      </w:r>
    </w:p>
    <w:p w:rsidR="00CE525E" w:rsidRPr="00C615AA" w:rsidRDefault="00CE525E" w:rsidP="009019B2">
      <w:pPr>
        <w:tabs>
          <w:tab w:val="left" w:pos="1440"/>
          <w:tab w:val="left" w:pos="4320"/>
        </w:tabs>
        <w:jc w:val="both"/>
      </w:pPr>
    </w:p>
    <w:p w:rsidR="00FB1B13" w:rsidRPr="00CE525E" w:rsidRDefault="00FB1B13" w:rsidP="00FB1B13">
      <w:pPr>
        <w:pStyle w:val="NormalWeb"/>
        <w:rPr>
          <w:rFonts w:ascii="Arial" w:hAnsi="Arial" w:cs="Arial"/>
          <w:b/>
          <w:bCs/>
          <w:color w:val="7030A0"/>
          <w:lang w:val="en-US"/>
        </w:rPr>
      </w:pPr>
      <w:r w:rsidRPr="00CE525E">
        <w:rPr>
          <w:rFonts w:ascii="Arial" w:hAnsi="Arial" w:cs="Arial"/>
          <w:b/>
          <w:bCs/>
          <w:color w:val="7030A0"/>
          <w:lang w:val="en-US"/>
        </w:rPr>
        <w:t>Job Description</w:t>
      </w:r>
    </w:p>
    <w:p w:rsidR="009D35FC" w:rsidRDefault="009D35FC" w:rsidP="009D35FC">
      <w:pPr>
        <w:jc w:val="both"/>
      </w:pPr>
      <w:r>
        <w:t>This position works in the Defence Section of the Australian High Commission.  Under general direction, the Executive Assistant provides high-level executive, administrative and organisational support to the Defence Advisor and Defence Executive team.</w:t>
      </w:r>
    </w:p>
    <w:p w:rsidR="00004CB0" w:rsidRDefault="00004CB0" w:rsidP="00004CB0"/>
    <w:p w:rsidR="00004CB0" w:rsidRDefault="00004CB0" w:rsidP="00004CB0">
      <w:r w:rsidRPr="00871198">
        <w:t xml:space="preserve">The position </w:t>
      </w:r>
      <w:r w:rsidR="008160A0">
        <w:t xml:space="preserve">is a </w:t>
      </w:r>
      <w:r w:rsidRPr="00CE6630">
        <w:t>L</w:t>
      </w:r>
      <w:r>
        <w:t xml:space="preserve">ocally Engaged Staff </w:t>
      </w:r>
      <w:r w:rsidRPr="00CE6630">
        <w:t>Designated Security Assessm</w:t>
      </w:r>
      <w:r>
        <w:t>ent Position (DSAP</w:t>
      </w:r>
      <w:r w:rsidRPr="00CE6630">
        <w:t xml:space="preserve">) within the </w:t>
      </w:r>
      <w:r>
        <w:t>High Commission</w:t>
      </w:r>
      <w:r w:rsidRPr="00871198">
        <w:t xml:space="preserve">.  </w:t>
      </w:r>
    </w:p>
    <w:p w:rsidR="00004CB0" w:rsidRDefault="00004CB0" w:rsidP="00FB1B13"/>
    <w:p w:rsidR="00FB1B13" w:rsidRPr="00CE525E" w:rsidRDefault="00FB1B13" w:rsidP="00FB1B13">
      <w:pPr>
        <w:pStyle w:val="NormalWeb"/>
        <w:rPr>
          <w:rFonts w:ascii="Arial" w:hAnsi="Arial" w:cs="Arial"/>
          <w:b/>
          <w:bCs/>
          <w:color w:val="7030A0"/>
          <w:lang w:val="en-US"/>
        </w:rPr>
      </w:pPr>
      <w:r w:rsidRPr="00CE525E">
        <w:rPr>
          <w:rFonts w:ascii="Arial" w:hAnsi="Arial" w:cs="Arial"/>
          <w:b/>
          <w:bCs/>
          <w:color w:val="7030A0"/>
          <w:lang w:val="en-US"/>
        </w:rPr>
        <w:t>Tasks and Functions</w:t>
      </w:r>
    </w:p>
    <w:p w:rsidR="00004CB0" w:rsidRPr="00F176AE" w:rsidRDefault="00004CB0" w:rsidP="00004CB0">
      <w:r w:rsidRPr="00F176AE">
        <w:t>The key responsibilities of the position include, but are not limited to:</w:t>
      </w:r>
    </w:p>
    <w:p w:rsidR="00004CB0" w:rsidRPr="00F176AE" w:rsidRDefault="00004CB0" w:rsidP="00004CB0"/>
    <w:p w:rsidR="009D35FC" w:rsidRDefault="009D35FC" w:rsidP="009D35FC">
      <w:pPr>
        <w:numPr>
          <w:ilvl w:val="0"/>
          <w:numId w:val="32"/>
        </w:numPr>
        <w:autoSpaceDE w:val="0"/>
        <w:autoSpaceDN w:val="0"/>
        <w:adjustRightInd w:val="0"/>
        <w:spacing w:line="360" w:lineRule="auto"/>
        <w:ind w:left="360"/>
        <w:contextualSpacing/>
        <w:jc w:val="both"/>
      </w:pPr>
      <w:r>
        <w:lastRenderedPageBreak/>
        <w:t>Provide executive and operational support to the Defence Executive Team, and manage program and appointment schedules, receive and escort official visitors and make travel arrangements.</w:t>
      </w:r>
    </w:p>
    <w:p w:rsidR="009D35FC" w:rsidRDefault="009D35FC" w:rsidP="009D35FC">
      <w:pPr>
        <w:numPr>
          <w:ilvl w:val="0"/>
          <w:numId w:val="32"/>
        </w:numPr>
        <w:autoSpaceDE w:val="0"/>
        <w:autoSpaceDN w:val="0"/>
        <w:adjustRightInd w:val="0"/>
        <w:spacing w:line="360" w:lineRule="auto"/>
        <w:ind w:left="360"/>
        <w:contextualSpacing/>
        <w:jc w:val="both"/>
      </w:pPr>
      <w:r>
        <w:t>Undertake research and administrative tasks as assigned by the Defence Adviser, and report on key matters and issues.</w:t>
      </w:r>
    </w:p>
    <w:p w:rsidR="009D35FC" w:rsidRDefault="009D35FC" w:rsidP="009D35FC">
      <w:pPr>
        <w:numPr>
          <w:ilvl w:val="0"/>
          <w:numId w:val="32"/>
        </w:numPr>
        <w:autoSpaceDE w:val="0"/>
        <w:autoSpaceDN w:val="0"/>
        <w:adjustRightInd w:val="0"/>
        <w:spacing w:line="360" w:lineRule="auto"/>
        <w:ind w:left="360"/>
        <w:contextualSpacing/>
        <w:jc w:val="both"/>
      </w:pPr>
      <w:r>
        <w:t>Prepare a range of routine correspondence to a high standard for the Defence Executive Team, and mange incoming and outgoing correspondence.</w:t>
      </w:r>
    </w:p>
    <w:p w:rsidR="009D35FC" w:rsidRDefault="009D35FC" w:rsidP="009D35FC">
      <w:pPr>
        <w:numPr>
          <w:ilvl w:val="0"/>
          <w:numId w:val="32"/>
        </w:numPr>
        <w:autoSpaceDE w:val="0"/>
        <w:autoSpaceDN w:val="0"/>
        <w:adjustRightInd w:val="0"/>
        <w:spacing w:line="360" w:lineRule="auto"/>
        <w:ind w:left="360"/>
        <w:contextualSpacing/>
        <w:jc w:val="both"/>
      </w:pPr>
      <w:r>
        <w:t>Assist in the planning and coordination of visits to Malaysia by Australian Defence Staff, including the arrangement of travel logistics and drafting of visit programs.</w:t>
      </w:r>
    </w:p>
    <w:p w:rsidR="009D35FC" w:rsidRDefault="009D35FC" w:rsidP="009D35FC">
      <w:pPr>
        <w:numPr>
          <w:ilvl w:val="0"/>
          <w:numId w:val="32"/>
        </w:numPr>
        <w:autoSpaceDE w:val="0"/>
        <w:autoSpaceDN w:val="0"/>
        <w:adjustRightInd w:val="0"/>
        <w:spacing w:line="360" w:lineRule="auto"/>
        <w:ind w:left="360"/>
        <w:contextualSpacing/>
        <w:jc w:val="both"/>
      </w:pPr>
      <w:r>
        <w:t>Develop and maintain strong working relationships with key internal and external stakeholders to ensure the smooth functioning of Defence activities.</w:t>
      </w:r>
    </w:p>
    <w:p w:rsidR="009D35FC" w:rsidRDefault="009D35FC" w:rsidP="009D35FC">
      <w:pPr>
        <w:numPr>
          <w:ilvl w:val="0"/>
          <w:numId w:val="32"/>
        </w:numPr>
        <w:autoSpaceDE w:val="0"/>
        <w:autoSpaceDN w:val="0"/>
        <w:adjustRightInd w:val="0"/>
        <w:spacing w:line="360" w:lineRule="auto"/>
        <w:ind w:left="360"/>
        <w:contextualSpacing/>
        <w:jc w:val="both"/>
      </w:pPr>
      <w:r>
        <w:t>Liaise with the Ministry of Defence and other Malaysian agencies to facilitate visits and calls.</w:t>
      </w:r>
    </w:p>
    <w:p w:rsidR="009D35FC" w:rsidRDefault="009D35FC" w:rsidP="009D35FC">
      <w:pPr>
        <w:numPr>
          <w:ilvl w:val="0"/>
          <w:numId w:val="32"/>
        </w:numPr>
        <w:autoSpaceDE w:val="0"/>
        <w:autoSpaceDN w:val="0"/>
        <w:adjustRightInd w:val="0"/>
        <w:spacing w:line="360" w:lineRule="auto"/>
        <w:ind w:left="360"/>
        <w:contextualSpacing/>
        <w:jc w:val="both"/>
      </w:pPr>
      <w:r>
        <w:t>Maintain Defence databases and manage electronic data including key contacts and guest lists.</w:t>
      </w:r>
    </w:p>
    <w:p w:rsidR="009D35FC" w:rsidRDefault="009D35FC" w:rsidP="009D35FC">
      <w:pPr>
        <w:numPr>
          <w:ilvl w:val="0"/>
          <w:numId w:val="32"/>
        </w:numPr>
        <w:autoSpaceDE w:val="0"/>
        <w:autoSpaceDN w:val="0"/>
        <w:adjustRightInd w:val="0"/>
        <w:spacing w:line="360" w:lineRule="auto"/>
        <w:ind w:left="360"/>
        <w:contextualSpacing/>
        <w:jc w:val="both"/>
      </w:pPr>
      <w:r>
        <w:t>Coordinate the activities of the Defence Drivers, and brief them on work schedules.</w:t>
      </w:r>
    </w:p>
    <w:p w:rsidR="009D35FC" w:rsidRDefault="009D35FC" w:rsidP="009D35FC">
      <w:pPr>
        <w:numPr>
          <w:ilvl w:val="0"/>
          <w:numId w:val="32"/>
        </w:numPr>
        <w:autoSpaceDE w:val="0"/>
        <w:autoSpaceDN w:val="0"/>
        <w:adjustRightInd w:val="0"/>
        <w:spacing w:line="360" w:lineRule="auto"/>
        <w:ind w:left="360"/>
        <w:contextualSpacing/>
        <w:jc w:val="both"/>
      </w:pPr>
      <w:r>
        <w:t>Facilitate approved travel arrangements for the Defence Executive Team - both internal and as required.</w:t>
      </w:r>
    </w:p>
    <w:p w:rsidR="00F176AE" w:rsidRPr="00F176AE" w:rsidRDefault="00F176AE" w:rsidP="00F176AE">
      <w:pPr>
        <w:autoSpaceDE w:val="0"/>
        <w:autoSpaceDN w:val="0"/>
        <w:adjustRightInd w:val="0"/>
        <w:spacing w:after="200" w:line="240" w:lineRule="atLeast"/>
        <w:contextualSpacing/>
        <w:rPr>
          <w:lang w:eastAsia="en-US"/>
        </w:rPr>
      </w:pPr>
    </w:p>
    <w:p w:rsidR="00FB1B13" w:rsidRPr="00CE525E" w:rsidRDefault="00FB1B13" w:rsidP="001B0B6E">
      <w:pPr>
        <w:autoSpaceDE w:val="0"/>
        <w:autoSpaceDN w:val="0"/>
        <w:adjustRightInd w:val="0"/>
        <w:spacing w:after="120" w:line="240" w:lineRule="atLeast"/>
        <w:rPr>
          <w:rFonts w:ascii="Arial" w:hAnsi="Arial" w:cs="Arial"/>
          <w:b/>
          <w:bCs/>
          <w:color w:val="7030A0"/>
          <w:lang w:val="en-US"/>
        </w:rPr>
      </w:pPr>
      <w:r w:rsidRPr="00CE525E">
        <w:rPr>
          <w:rFonts w:ascii="Arial" w:hAnsi="Arial" w:cs="Arial"/>
          <w:b/>
          <w:bCs/>
          <w:color w:val="7030A0"/>
          <w:lang w:val="en-US"/>
        </w:rPr>
        <w:t>Selection Criteria</w:t>
      </w:r>
    </w:p>
    <w:p w:rsidR="00004CB0" w:rsidRPr="00F176AE" w:rsidRDefault="00004CB0" w:rsidP="00004CB0">
      <w:pPr>
        <w:pStyle w:val="Heading6"/>
        <w:rPr>
          <w:rFonts w:ascii="Times New Roman" w:hAnsi="Times New Roman" w:cs="Times New Roman"/>
          <w:b/>
          <w:i w:val="0"/>
          <w:color w:val="auto"/>
          <w:lang w:val="en-US"/>
        </w:rPr>
      </w:pPr>
      <w:r w:rsidRPr="00F176AE">
        <w:rPr>
          <w:rFonts w:ascii="Times New Roman" w:hAnsi="Times New Roman" w:cs="Times New Roman"/>
          <w:b/>
          <w:i w:val="0"/>
          <w:color w:val="auto"/>
          <w:lang w:val="en-US"/>
        </w:rPr>
        <w:t>Essential</w:t>
      </w:r>
      <w:r w:rsidR="00F176AE" w:rsidRPr="00F176AE">
        <w:rPr>
          <w:rFonts w:ascii="Times New Roman" w:hAnsi="Times New Roman" w:cs="Times New Roman"/>
          <w:b/>
          <w:i w:val="0"/>
          <w:color w:val="auto"/>
          <w:lang w:val="en-US"/>
        </w:rPr>
        <w:t>:</w:t>
      </w:r>
    </w:p>
    <w:p w:rsidR="00004CB0" w:rsidRPr="00F176AE" w:rsidRDefault="00004CB0" w:rsidP="00004CB0">
      <w:pPr>
        <w:rPr>
          <w:lang w:val="en-US"/>
        </w:rPr>
      </w:pPr>
    </w:p>
    <w:p w:rsidR="009D35FC" w:rsidRDefault="009D35FC" w:rsidP="009D35FC">
      <w:pPr>
        <w:numPr>
          <w:ilvl w:val="0"/>
          <w:numId w:val="33"/>
        </w:numPr>
        <w:tabs>
          <w:tab w:val="clear" w:pos="360"/>
          <w:tab w:val="num" w:pos="720"/>
        </w:tabs>
        <w:jc w:val="both"/>
        <w:rPr>
          <w:lang w:val="en-US"/>
        </w:rPr>
      </w:pPr>
      <w:r>
        <w:rPr>
          <w:lang w:val="en-US"/>
        </w:rPr>
        <w:t>Strong spoken and written English language skills.</w:t>
      </w:r>
    </w:p>
    <w:p w:rsidR="009D35FC" w:rsidRDefault="009D35FC" w:rsidP="009D35FC">
      <w:pPr>
        <w:ind w:left="360"/>
        <w:jc w:val="both"/>
        <w:rPr>
          <w:lang w:val="en-US"/>
        </w:rPr>
      </w:pPr>
    </w:p>
    <w:p w:rsidR="009D35FC" w:rsidRDefault="009D35FC" w:rsidP="009D35FC">
      <w:pPr>
        <w:numPr>
          <w:ilvl w:val="0"/>
          <w:numId w:val="33"/>
        </w:numPr>
        <w:tabs>
          <w:tab w:val="clear" w:pos="360"/>
          <w:tab w:val="num" w:pos="720"/>
        </w:tabs>
        <w:jc w:val="both"/>
        <w:rPr>
          <w:lang w:val="en-US"/>
        </w:rPr>
      </w:pPr>
      <w:r>
        <w:rPr>
          <w:lang w:val="en-US"/>
        </w:rPr>
        <w:t xml:space="preserve">Highly developed communication and liaison skills, in particular, the ability to deal with Military personnel and representatives from different </w:t>
      </w:r>
      <w:proofErr w:type="spellStart"/>
      <w:r>
        <w:rPr>
          <w:lang w:val="en-US"/>
        </w:rPr>
        <w:t>organisations</w:t>
      </w:r>
      <w:proofErr w:type="spellEnd"/>
      <w:r>
        <w:rPr>
          <w:lang w:val="en-US"/>
        </w:rPr>
        <w:t>.</w:t>
      </w:r>
    </w:p>
    <w:p w:rsidR="009D35FC" w:rsidRDefault="009D35FC" w:rsidP="009D35FC">
      <w:pPr>
        <w:ind w:left="360"/>
        <w:jc w:val="both"/>
        <w:rPr>
          <w:lang w:val="en-US"/>
        </w:rPr>
      </w:pPr>
    </w:p>
    <w:p w:rsidR="009D35FC" w:rsidRDefault="009D35FC" w:rsidP="009D35FC">
      <w:pPr>
        <w:numPr>
          <w:ilvl w:val="0"/>
          <w:numId w:val="33"/>
        </w:numPr>
        <w:tabs>
          <w:tab w:val="clear" w:pos="360"/>
          <w:tab w:val="num" w:pos="720"/>
        </w:tabs>
        <w:jc w:val="both"/>
        <w:rPr>
          <w:lang w:val="en-US"/>
        </w:rPr>
      </w:pPr>
      <w:r>
        <w:rPr>
          <w:lang w:val="en-US"/>
        </w:rPr>
        <w:t>A high level of proficiency with PC based software applications including Microsoft Word, Excel and Outlook.</w:t>
      </w:r>
    </w:p>
    <w:p w:rsidR="009D35FC" w:rsidRDefault="009D35FC" w:rsidP="009D35FC">
      <w:pPr>
        <w:ind w:left="360"/>
        <w:jc w:val="both"/>
        <w:rPr>
          <w:lang w:val="en-US"/>
        </w:rPr>
      </w:pPr>
    </w:p>
    <w:p w:rsidR="009D35FC" w:rsidRDefault="009D35FC" w:rsidP="009D35FC">
      <w:pPr>
        <w:numPr>
          <w:ilvl w:val="0"/>
          <w:numId w:val="33"/>
        </w:numPr>
        <w:tabs>
          <w:tab w:val="clear" w:pos="360"/>
          <w:tab w:val="num" w:pos="720"/>
        </w:tabs>
        <w:jc w:val="both"/>
        <w:rPr>
          <w:lang w:val="en-US"/>
        </w:rPr>
      </w:pPr>
      <w:r>
        <w:rPr>
          <w:lang w:val="en-US"/>
        </w:rPr>
        <w:t xml:space="preserve">Ability to plan, </w:t>
      </w:r>
      <w:proofErr w:type="spellStart"/>
      <w:r>
        <w:rPr>
          <w:lang w:val="en-US"/>
        </w:rPr>
        <w:t>organise</w:t>
      </w:r>
      <w:proofErr w:type="spellEnd"/>
      <w:r>
        <w:rPr>
          <w:lang w:val="en-US"/>
        </w:rPr>
        <w:t xml:space="preserve"> and </w:t>
      </w:r>
      <w:proofErr w:type="spellStart"/>
      <w:r>
        <w:rPr>
          <w:lang w:val="en-US"/>
        </w:rPr>
        <w:t>prioritise</w:t>
      </w:r>
      <w:proofErr w:type="spellEnd"/>
      <w:r>
        <w:rPr>
          <w:lang w:val="en-US"/>
        </w:rPr>
        <w:t xml:space="preserve"> workloads.</w:t>
      </w:r>
    </w:p>
    <w:p w:rsidR="009D35FC" w:rsidRDefault="009D35FC" w:rsidP="009D35FC">
      <w:pPr>
        <w:ind w:left="360"/>
        <w:jc w:val="both"/>
        <w:rPr>
          <w:lang w:val="en-US"/>
        </w:rPr>
      </w:pPr>
    </w:p>
    <w:p w:rsidR="009D35FC" w:rsidRDefault="009D35FC" w:rsidP="009D35FC">
      <w:pPr>
        <w:numPr>
          <w:ilvl w:val="0"/>
          <w:numId w:val="33"/>
        </w:numPr>
        <w:tabs>
          <w:tab w:val="clear" w:pos="360"/>
          <w:tab w:val="num" w:pos="720"/>
        </w:tabs>
        <w:jc w:val="both"/>
        <w:rPr>
          <w:lang w:val="en-US"/>
        </w:rPr>
      </w:pPr>
      <w:r>
        <w:rPr>
          <w:lang w:val="en-US"/>
        </w:rPr>
        <w:t>Flexibility and ability to work independently and as a team member.</w:t>
      </w:r>
    </w:p>
    <w:p w:rsidR="00004CB0" w:rsidRDefault="00004CB0" w:rsidP="00004CB0">
      <w:pPr>
        <w:pStyle w:val="Heading6"/>
        <w:rPr>
          <w:rFonts w:ascii="Times New Roman" w:hAnsi="Times New Roman" w:cs="Times New Roman"/>
          <w:b/>
          <w:i w:val="0"/>
          <w:color w:val="auto"/>
          <w:lang w:val="en-US"/>
        </w:rPr>
      </w:pPr>
      <w:r w:rsidRPr="00F176AE">
        <w:rPr>
          <w:rFonts w:ascii="Times New Roman" w:hAnsi="Times New Roman" w:cs="Times New Roman"/>
          <w:b/>
          <w:i w:val="0"/>
          <w:color w:val="auto"/>
          <w:lang w:val="en-US"/>
        </w:rPr>
        <w:t>Desirable</w:t>
      </w:r>
      <w:r w:rsidR="00F176AE">
        <w:rPr>
          <w:rFonts w:ascii="Times New Roman" w:hAnsi="Times New Roman" w:cs="Times New Roman"/>
          <w:b/>
          <w:i w:val="0"/>
          <w:color w:val="auto"/>
          <w:lang w:val="en-US"/>
        </w:rPr>
        <w:t>:</w:t>
      </w:r>
    </w:p>
    <w:p w:rsidR="009D35FC" w:rsidRPr="009D35FC" w:rsidRDefault="009D35FC" w:rsidP="009D35FC">
      <w:pPr>
        <w:rPr>
          <w:lang w:val="en-US"/>
        </w:rPr>
      </w:pPr>
    </w:p>
    <w:p w:rsidR="009D35FC" w:rsidRPr="00435358" w:rsidRDefault="009D35FC" w:rsidP="009D35FC">
      <w:pPr>
        <w:pStyle w:val="Heading6"/>
        <w:keepNext w:val="0"/>
        <w:keepLines w:val="0"/>
        <w:numPr>
          <w:ilvl w:val="0"/>
          <w:numId w:val="34"/>
        </w:numPr>
        <w:spacing w:before="0"/>
        <w:contextualSpacing/>
        <w:jc w:val="both"/>
        <w:rPr>
          <w:rFonts w:ascii="Times New Roman" w:hAnsi="Times New Roman" w:cs="Times New Roman"/>
          <w:i w:val="0"/>
          <w:color w:val="auto"/>
          <w:lang w:val="en-US"/>
        </w:rPr>
      </w:pPr>
      <w:r w:rsidRPr="00435358">
        <w:rPr>
          <w:rFonts w:ascii="Times New Roman" w:hAnsi="Times New Roman" w:cs="Times New Roman"/>
          <w:i w:val="0"/>
          <w:color w:val="auto"/>
          <w:lang w:val="en-US"/>
        </w:rPr>
        <w:t>Flexibility to work at short notice, including weekends and public holidays, if required.</w:t>
      </w:r>
    </w:p>
    <w:p w:rsidR="009D35FC" w:rsidRDefault="009D35FC" w:rsidP="009D35FC">
      <w:pPr>
        <w:ind w:left="360"/>
        <w:jc w:val="both"/>
        <w:rPr>
          <w:rFonts w:asciiTheme="minorHAnsi" w:hAnsiTheme="minorHAnsi"/>
          <w:lang w:val="en-US"/>
        </w:rPr>
      </w:pPr>
    </w:p>
    <w:p w:rsidR="009D35FC" w:rsidRDefault="009D35FC" w:rsidP="009D35FC">
      <w:pPr>
        <w:pStyle w:val="ListParagraph"/>
        <w:numPr>
          <w:ilvl w:val="0"/>
          <w:numId w:val="34"/>
        </w:numPr>
        <w:jc w:val="both"/>
        <w:rPr>
          <w:lang w:val="en-US"/>
        </w:rPr>
      </w:pPr>
      <w:r>
        <w:rPr>
          <w:lang w:val="en-US"/>
        </w:rPr>
        <w:t xml:space="preserve">An understanding of Australian </w:t>
      </w:r>
      <w:proofErr w:type="spellStart"/>
      <w:r>
        <w:rPr>
          <w:lang w:val="en-US"/>
        </w:rPr>
        <w:t>Defence</w:t>
      </w:r>
      <w:proofErr w:type="spellEnd"/>
      <w:r>
        <w:rPr>
          <w:lang w:val="en-US"/>
        </w:rPr>
        <w:t xml:space="preserve"> Force processes, procedures and terminology.</w:t>
      </w:r>
    </w:p>
    <w:p w:rsidR="00004CB0" w:rsidRPr="00985999" w:rsidRDefault="00004CB0" w:rsidP="00004CB0">
      <w:pPr>
        <w:pStyle w:val="ListParagraph"/>
        <w:ind w:left="360"/>
        <w:rPr>
          <w:lang w:val="en-US"/>
        </w:rPr>
      </w:pPr>
    </w:p>
    <w:p w:rsidR="00004CB0" w:rsidRDefault="00004CB0" w:rsidP="002170E2">
      <w:pPr>
        <w:tabs>
          <w:tab w:val="left" w:pos="1440"/>
          <w:tab w:val="left" w:pos="4320"/>
        </w:tabs>
        <w:jc w:val="both"/>
        <w:rPr>
          <w:rFonts w:ascii="Arial" w:hAnsi="Arial" w:cs="Arial"/>
          <w:b/>
          <w:bCs/>
          <w:color w:val="1E4193"/>
          <w:lang w:val="en-US"/>
        </w:rPr>
      </w:pPr>
    </w:p>
    <w:p w:rsidR="002170E2" w:rsidRPr="00CE525E" w:rsidRDefault="002170E2" w:rsidP="002170E2">
      <w:pPr>
        <w:tabs>
          <w:tab w:val="left" w:pos="1440"/>
          <w:tab w:val="left" w:pos="4320"/>
        </w:tabs>
        <w:jc w:val="both"/>
        <w:rPr>
          <w:rFonts w:ascii="Arial" w:hAnsi="Arial" w:cs="Arial"/>
          <w:b/>
          <w:bCs/>
          <w:color w:val="7030A0"/>
          <w:lang w:val="en-US"/>
        </w:rPr>
      </w:pPr>
      <w:r w:rsidRPr="00CE525E">
        <w:rPr>
          <w:rFonts w:ascii="Arial" w:hAnsi="Arial" w:cs="Arial"/>
          <w:b/>
          <w:bCs/>
          <w:color w:val="7030A0"/>
          <w:lang w:val="en-US"/>
        </w:rPr>
        <w:t xml:space="preserve">Security designated position </w:t>
      </w:r>
    </w:p>
    <w:p w:rsidR="00FD6C21" w:rsidRDefault="00FD6C21" w:rsidP="002170E2">
      <w:pPr>
        <w:tabs>
          <w:tab w:val="left" w:pos="1440"/>
          <w:tab w:val="left" w:pos="4320"/>
        </w:tabs>
        <w:jc w:val="both"/>
        <w:rPr>
          <w:rFonts w:ascii="Arial" w:hAnsi="Arial" w:cs="Arial"/>
          <w:b/>
          <w:bCs/>
          <w:color w:val="1E4193"/>
          <w:lang w:val="en-US"/>
        </w:rPr>
      </w:pPr>
    </w:p>
    <w:p w:rsidR="00B4476E" w:rsidRDefault="00CC6388" w:rsidP="00EB06C0">
      <w:pPr>
        <w:jc w:val="both"/>
        <w:rPr>
          <w:highlight w:val="yellow"/>
        </w:rPr>
      </w:pPr>
      <w:r w:rsidRPr="00BC0124">
        <w:rPr>
          <w:rFonts w:eastAsia="Calibri"/>
          <w:b/>
          <w:lang w:eastAsia="en-US"/>
        </w:rPr>
        <w:t>It is requirement that the applicant is an Australian Citizen</w:t>
      </w:r>
      <w:r w:rsidRPr="00FD6C21">
        <w:rPr>
          <w:rFonts w:eastAsia="Calibri"/>
          <w:lang w:eastAsia="en-US"/>
        </w:rPr>
        <w:t xml:space="preserve"> and should possess a current Australian </w:t>
      </w:r>
      <w:r>
        <w:rPr>
          <w:rFonts w:eastAsia="Calibri"/>
          <w:lang w:eastAsia="en-US"/>
        </w:rPr>
        <w:t xml:space="preserve">National </w:t>
      </w:r>
      <w:r w:rsidRPr="00FD6C21">
        <w:rPr>
          <w:rFonts w:eastAsia="Calibri"/>
          <w:lang w:eastAsia="en-US"/>
        </w:rPr>
        <w:t xml:space="preserve">Security clearance or </w:t>
      </w:r>
      <w:r w:rsidRPr="000271E0">
        <w:rPr>
          <w:lang w:val="en-US"/>
        </w:rPr>
        <w:t xml:space="preserve">must be willing to undergo </w:t>
      </w:r>
      <w:r>
        <w:rPr>
          <w:lang w:val="en-US"/>
        </w:rPr>
        <w:t xml:space="preserve">vigorous </w:t>
      </w:r>
      <w:r w:rsidRPr="000271E0">
        <w:rPr>
          <w:lang w:val="en-US"/>
        </w:rPr>
        <w:t>securi</w:t>
      </w:r>
      <w:r>
        <w:rPr>
          <w:lang w:val="en-US"/>
        </w:rPr>
        <w:t>ty checks necessary to obtain the required s</w:t>
      </w:r>
      <w:r w:rsidRPr="000271E0">
        <w:rPr>
          <w:lang w:val="en-US"/>
        </w:rPr>
        <w:t>ecurity clearance</w:t>
      </w:r>
      <w:r>
        <w:rPr>
          <w:lang w:val="en-US"/>
        </w:rPr>
        <w:t>.</w:t>
      </w:r>
    </w:p>
    <w:p w:rsidR="00EB06C0" w:rsidRDefault="00EB06C0" w:rsidP="00EB06C0">
      <w:pPr>
        <w:jc w:val="both"/>
        <w:rPr>
          <w:highlight w:val="yellow"/>
        </w:rPr>
      </w:pPr>
    </w:p>
    <w:p w:rsidR="00172396" w:rsidRDefault="00172396" w:rsidP="00EB06C0">
      <w:pPr>
        <w:jc w:val="both"/>
        <w:rPr>
          <w:highlight w:val="yellow"/>
        </w:rPr>
      </w:pPr>
    </w:p>
    <w:tbl>
      <w:tblPr>
        <w:tblW w:w="1013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1"/>
      </w:tblGrid>
      <w:tr w:rsidR="00172396" w:rsidRPr="005A749A" w:rsidTr="00AC7D58">
        <w:trPr>
          <w:trHeight w:val="2184"/>
        </w:trPr>
        <w:tc>
          <w:tcPr>
            <w:tcW w:w="10131" w:type="dxa"/>
          </w:tcPr>
          <w:p w:rsidR="00172396" w:rsidRPr="005A749A" w:rsidRDefault="00172396" w:rsidP="00AC7D58">
            <w:pPr>
              <w:ind w:left="66"/>
              <w:jc w:val="both"/>
              <w:rPr>
                <w:rFonts w:ascii="Arial" w:hAnsi="Arial" w:cs="Arial"/>
                <w:b/>
                <w:color w:val="1F497D" w:themeColor="text2"/>
                <w:sz w:val="20"/>
                <w:szCs w:val="20"/>
              </w:rPr>
            </w:pPr>
            <w:r w:rsidRPr="005A749A">
              <w:rPr>
                <w:rFonts w:ascii="Arial" w:hAnsi="Arial" w:cs="Arial"/>
                <w:b/>
                <w:bCs/>
                <w:color w:val="1E4193"/>
                <w:sz w:val="20"/>
                <w:szCs w:val="20"/>
                <w:lang w:val="en-US"/>
              </w:rPr>
              <w:br w:type="page"/>
            </w:r>
          </w:p>
          <w:p w:rsidR="00172396" w:rsidRPr="005A749A" w:rsidRDefault="00172396" w:rsidP="008578C0">
            <w:pPr>
              <w:ind w:left="66"/>
              <w:jc w:val="center"/>
              <w:rPr>
                <w:rFonts w:ascii="Arial" w:hAnsi="Arial" w:cs="Arial"/>
                <w:b/>
                <w:color w:val="1F497D" w:themeColor="text2"/>
              </w:rPr>
            </w:pPr>
            <w:r w:rsidRPr="005A749A">
              <w:rPr>
                <w:rFonts w:ascii="Arial" w:hAnsi="Arial" w:cs="Arial"/>
                <w:b/>
                <w:color w:val="1F497D" w:themeColor="text2"/>
              </w:rPr>
              <w:t>Equal Employment Opportunities</w:t>
            </w:r>
          </w:p>
          <w:p w:rsidR="00172396" w:rsidRPr="005A749A" w:rsidRDefault="00172396" w:rsidP="00AC7D58">
            <w:pPr>
              <w:ind w:left="66"/>
              <w:jc w:val="both"/>
              <w:rPr>
                <w:b/>
                <w:i/>
              </w:rPr>
            </w:pPr>
          </w:p>
          <w:p w:rsidR="00172396" w:rsidRPr="005A749A" w:rsidRDefault="00172396" w:rsidP="00AC7D58">
            <w:pPr>
              <w:ind w:left="66"/>
              <w:jc w:val="both"/>
            </w:pPr>
            <w:r w:rsidRPr="005A749A">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rsidR="00172396" w:rsidRPr="005A749A" w:rsidRDefault="00172396" w:rsidP="00AC7D58">
            <w:pPr>
              <w:ind w:left="66"/>
              <w:jc w:val="both"/>
              <w:rPr>
                <w:sz w:val="22"/>
                <w:szCs w:val="22"/>
              </w:rPr>
            </w:pPr>
          </w:p>
          <w:p w:rsidR="00172396" w:rsidRPr="005A749A" w:rsidRDefault="00172396" w:rsidP="00AC7D58">
            <w:pPr>
              <w:ind w:left="66"/>
              <w:jc w:val="both"/>
              <w:rPr>
                <w:rFonts w:ascii="Arial" w:hAnsi="Arial" w:cs="Arial"/>
                <w:b/>
                <w:color w:val="1F497D" w:themeColor="text2"/>
                <w:sz w:val="20"/>
                <w:szCs w:val="20"/>
              </w:rPr>
            </w:pPr>
          </w:p>
        </w:tc>
      </w:tr>
    </w:tbl>
    <w:p w:rsidR="00B4476E" w:rsidRDefault="00B4476E" w:rsidP="00CE525E">
      <w:pPr>
        <w:jc w:val="both"/>
        <w:rPr>
          <w:rFonts w:ascii="Arial" w:hAnsi="Arial" w:cs="Arial"/>
          <w:b/>
          <w:bCs/>
          <w:color w:val="1E4193"/>
          <w:sz w:val="20"/>
          <w:szCs w:val="20"/>
          <w:lang w:val="en-US"/>
        </w:rPr>
      </w:pPr>
    </w:p>
    <w:p w:rsidR="00CE525E" w:rsidRDefault="00CE525E" w:rsidP="00CE525E">
      <w:pPr>
        <w:jc w:val="both"/>
        <w:rPr>
          <w:rFonts w:ascii="Arial" w:hAnsi="Arial" w:cs="Arial"/>
          <w:b/>
          <w:bCs/>
          <w:color w:val="1E4193"/>
          <w:sz w:val="20"/>
          <w:szCs w:val="20"/>
          <w:lang w:val="en-US"/>
        </w:rPr>
      </w:pPr>
    </w:p>
    <w:p w:rsidR="00CE525E" w:rsidRPr="00172396" w:rsidRDefault="00CE525E" w:rsidP="00CE525E">
      <w:pPr>
        <w:jc w:val="both"/>
        <w:rPr>
          <w:rFonts w:ascii="Arial" w:hAnsi="Arial" w:cs="Arial"/>
          <w:b/>
          <w:color w:val="1F497D" w:themeColor="text2"/>
          <w:sz w:val="20"/>
          <w:szCs w:val="20"/>
        </w:rPr>
      </w:pPr>
    </w:p>
    <w:p w:rsidR="00A15681" w:rsidRPr="00A03148" w:rsidRDefault="00A15681" w:rsidP="00A15681">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33670F" w:rsidRPr="005A749A" w:rsidRDefault="0033670F" w:rsidP="0033670F">
      <w:pPr>
        <w:pStyle w:val="NormalWeb"/>
        <w:jc w:val="both"/>
      </w:pPr>
      <w:r w:rsidRPr="005A749A">
        <w:t xml:space="preserve">To work at the </w:t>
      </w:r>
      <w:r w:rsidRPr="005A749A">
        <w:rPr>
          <w:lang w:val="en-US"/>
        </w:rPr>
        <w:t>Australian High Commission</w:t>
      </w:r>
      <w:r w:rsidRPr="005A749A">
        <w:t xml:space="preserve">, it is a requirement to hold a valid Malaysian work permit/visa. The High Commission will facilitate the necessary work authorisation for the work permit/visa process for the successful applicant. The successful candidate is responsible for his/her travel, relocation costs, accommodation arrangements and visa fees. </w:t>
      </w:r>
    </w:p>
    <w:p w:rsidR="0033670F" w:rsidRPr="005A749A" w:rsidRDefault="0033670F" w:rsidP="0033670F">
      <w:pPr>
        <w:pStyle w:val="NormalWeb"/>
        <w:jc w:val="both"/>
      </w:pPr>
      <w:r w:rsidRPr="005A749A">
        <w:t xml:space="preserve">The work permit/visa is only applicable to the successful applicant. Family members and dependants are not included. Applicants with dependants will need to consider Malaysian visa and entry requirements for family members, including the possibility of family members exiting and re-entering Malaysia to obtain new visas. </w:t>
      </w:r>
    </w:p>
    <w:p w:rsidR="0033670F" w:rsidRDefault="0033670F" w:rsidP="0033670F">
      <w:pPr>
        <w:pStyle w:val="NormalWeb"/>
        <w:jc w:val="both"/>
      </w:pPr>
      <w:r w:rsidRPr="005A749A">
        <w:rPr>
          <w:b/>
          <w:u w:val="single"/>
        </w:rPr>
        <w:t>Note:</w:t>
      </w:r>
      <w:r w:rsidRPr="005A749A">
        <w:t xml:space="preserve"> </w:t>
      </w:r>
    </w:p>
    <w:p w:rsidR="0033670F" w:rsidRPr="005A749A" w:rsidRDefault="0033670F" w:rsidP="0033670F">
      <w:pPr>
        <w:pStyle w:val="NormalWeb"/>
        <w:jc w:val="both"/>
      </w:pPr>
      <w:r w:rsidRPr="005A749A">
        <w:t>The offer of employment is contingent upon successfully obtaining a valid Malaysian work permit/visa.</w:t>
      </w:r>
    </w:p>
    <w:p w:rsidR="00EB06C0" w:rsidRDefault="0033670F" w:rsidP="006B25FD">
      <w:pPr>
        <w:pStyle w:val="NormalWeb"/>
        <w:rPr>
          <w:b/>
          <w:u w:val="single"/>
        </w:rPr>
      </w:pPr>
      <w:r>
        <w:rPr>
          <w:b/>
          <w:u w:val="single"/>
        </w:rPr>
        <w:t>T</w:t>
      </w:r>
      <w:r w:rsidR="00EB06C0" w:rsidRPr="00185EF6">
        <w:rPr>
          <w:b/>
          <w:u w:val="single"/>
        </w:rPr>
        <w:t>his position is open to Australian citizens only.</w:t>
      </w:r>
    </w:p>
    <w:p w:rsidR="00EB06C0" w:rsidRDefault="00EB06C0" w:rsidP="006B25FD">
      <w:pPr>
        <w:pStyle w:val="NormalWeb"/>
        <w:rPr>
          <w:b/>
          <w:u w:val="single"/>
        </w:rPr>
      </w:pPr>
    </w:p>
    <w:p w:rsidR="00EB06C0" w:rsidRDefault="00EB06C0" w:rsidP="006B25FD">
      <w:pPr>
        <w:pStyle w:val="NormalWeb"/>
        <w:rPr>
          <w:b/>
          <w:u w:val="single"/>
        </w:rPr>
      </w:pPr>
    </w:p>
    <w:p w:rsidR="0033670F" w:rsidRDefault="0033670F" w:rsidP="006B25FD">
      <w:pPr>
        <w:pStyle w:val="NormalWeb"/>
        <w:rPr>
          <w:b/>
          <w:u w:val="single"/>
        </w:rPr>
      </w:pPr>
    </w:p>
    <w:p w:rsidR="0033670F" w:rsidRDefault="0033670F" w:rsidP="006B25FD">
      <w:pPr>
        <w:pStyle w:val="NormalWeb"/>
        <w:rPr>
          <w:b/>
          <w:u w:val="single"/>
        </w:rPr>
      </w:pPr>
    </w:p>
    <w:p w:rsidR="0033670F" w:rsidRDefault="0033670F" w:rsidP="006B25FD">
      <w:pPr>
        <w:pStyle w:val="NormalWeb"/>
        <w:rPr>
          <w:b/>
          <w:u w:val="single"/>
        </w:rPr>
      </w:pPr>
    </w:p>
    <w:p w:rsidR="00EB06C0" w:rsidRDefault="00EB06C0" w:rsidP="006B25FD">
      <w:pPr>
        <w:pStyle w:val="NormalWeb"/>
        <w:rPr>
          <w:b/>
          <w:u w:val="single"/>
        </w:rPr>
      </w:pPr>
    </w:p>
    <w:p w:rsidR="00EB06C0" w:rsidRDefault="00EB06C0" w:rsidP="006B25FD">
      <w:pPr>
        <w:pStyle w:val="NormalWeb"/>
        <w:rPr>
          <w:b/>
          <w:u w:val="single"/>
        </w:rPr>
      </w:pPr>
    </w:p>
    <w:p w:rsidR="00EB06C0" w:rsidRDefault="00EB06C0" w:rsidP="006B25FD">
      <w:pPr>
        <w:pStyle w:val="NormalWeb"/>
        <w:rPr>
          <w:b/>
          <w:u w:val="single"/>
        </w:rPr>
      </w:pPr>
    </w:p>
    <w:p w:rsidR="00EB06C0" w:rsidRDefault="00EB06C0" w:rsidP="006B25FD">
      <w:pPr>
        <w:pStyle w:val="NormalWeb"/>
        <w:rPr>
          <w:b/>
          <w:u w:val="single"/>
        </w:rPr>
      </w:pPr>
    </w:p>
    <w:p w:rsidR="00CE525E" w:rsidRDefault="00CE525E" w:rsidP="006B25FD">
      <w:pPr>
        <w:pStyle w:val="NormalWeb"/>
        <w:rPr>
          <w:b/>
          <w:u w:val="single"/>
        </w:rPr>
      </w:pPr>
    </w:p>
    <w:p w:rsidR="00CE525E" w:rsidRDefault="00CE525E" w:rsidP="006B25FD">
      <w:pPr>
        <w:pStyle w:val="NormalWeb"/>
        <w:rPr>
          <w:b/>
          <w:u w:val="single"/>
        </w:rPr>
      </w:pP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0273FA" w:rsidRDefault="004A58EC" w:rsidP="004A58EC">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Pr="000273FA">
        <w:t xml:space="preserve">Complete </w:t>
      </w:r>
      <w:r>
        <w:t>Attachment A</w:t>
      </w:r>
    </w:p>
    <w:p w:rsidR="004A58EC" w:rsidRDefault="004A58EC" w:rsidP="004A58EC">
      <w:pPr>
        <w:ind w:right="-91"/>
      </w:pPr>
      <w:r>
        <w:t>The form is attached for completion.</w:t>
      </w:r>
    </w:p>
    <w:p w:rsidR="004A58EC" w:rsidRPr="00DB463B" w:rsidRDefault="004A58EC" w:rsidP="004A58EC">
      <w:pPr>
        <w:pStyle w:val="Caption"/>
      </w:pPr>
    </w:p>
    <w:p w:rsidR="009C0010" w:rsidRDefault="009C0010" w:rsidP="009C0010">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w:t>
      </w:r>
    </w:p>
    <w:p w:rsidR="009C0010" w:rsidRPr="009C0010" w:rsidRDefault="009C0010" w:rsidP="009C0010">
      <w:pPr>
        <w:pStyle w:val="ListParagraph"/>
        <w:autoSpaceDE w:val="0"/>
        <w:autoSpaceDN w:val="0"/>
        <w:adjustRightInd w:val="0"/>
        <w:spacing w:after="34"/>
        <w:ind w:left="360"/>
        <w:jc w:val="both"/>
        <w:rPr>
          <w:rFonts w:cstheme="minorHAnsi"/>
          <w:color w:val="000000"/>
        </w:rPr>
      </w:pPr>
    </w:p>
    <w:p w:rsidR="009C0010" w:rsidRPr="009C0010" w:rsidRDefault="009C0010" w:rsidP="009C0010">
      <w:pPr>
        <w:pStyle w:val="ListParagraph"/>
        <w:numPr>
          <w:ilvl w:val="0"/>
          <w:numId w:val="21"/>
        </w:numPr>
        <w:autoSpaceDE w:val="0"/>
        <w:autoSpaceDN w:val="0"/>
        <w:adjustRightInd w:val="0"/>
        <w:spacing w:after="34"/>
        <w:jc w:val="both"/>
        <w:rPr>
          <w:rFonts w:cstheme="minorHAnsi"/>
          <w:color w:val="000000"/>
        </w:rPr>
      </w:pPr>
      <w:r w:rsidRPr="009C0010">
        <w:rPr>
          <w:rFonts w:cstheme="minorHAnsi"/>
          <w:b/>
          <w:color w:val="000000"/>
          <w:u w:val="single"/>
        </w:rPr>
        <w:t>A One Page Pitch</w:t>
      </w:r>
      <w:r w:rsidRPr="009C0010">
        <w:rPr>
          <w:rFonts w:cstheme="minorHAnsi"/>
          <w:b/>
          <w:color w:val="000000"/>
        </w:rPr>
        <w:t xml:space="preserve"> </w:t>
      </w:r>
      <w:r w:rsidRPr="009C0010">
        <w:rPr>
          <w:rFonts w:cstheme="minorHAnsi"/>
          <w:color w:val="000000"/>
        </w:rPr>
        <w:t>of no more than 500 words addressing how you have the skills and knowledge relevant to the position’s responsibilities, with reference to your relevant qualifications and experience.</w:t>
      </w:r>
    </w:p>
    <w:p w:rsidR="00D327FF" w:rsidRDefault="00D327FF" w:rsidP="004A58EC">
      <w:pPr>
        <w:spacing w:before="120" w:after="120"/>
        <w:ind w:right="-88"/>
        <w:rPr>
          <w:i/>
        </w:rPr>
      </w:pP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sidR="009C0010">
        <w:rPr>
          <w:lang w:val="en-US"/>
        </w:rPr>
        <w:t>Attachment B</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rsidR="009C0010">
        <w:t>-  Attachment C</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rsidR="004A58EC" w:rsidRDefault="004A58EC" w:rsidP="004A58EC">
      <w:pPr>
        <w:ind w:right="-91"/>
        <w:rPr>
          <w:lang w:val="en-US"/>
        </w:rPr>
      </w:pPr>
      <w:bookmarkStart w:id="0" w:name="_GoBack"/>
      <w:bookmarkEnd w:id="0"/>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50B3F5A9" wp14:editId="22E43E1F">
                <wp:simplePos x="0" y="0"/>
                <wp:positionH relativeFrom="column">
                  <wp:align>center</wp:align>
                </wp:positionH>
                <wp:positionV relativeFrom="paragraph">
                  <wp:posOffset>0</wp:posOffset>
                </wp:positionV>
                <wp:extent cx="6495415" cy="1999615"/>
                <wp:effectExtent l="9525" t="9525" r="101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999615"/>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EB06C0">
                              <w:rPr>
                                <w:b/>
                                <w:lang w:val="en-US"/>
                              </w:rPr>
                              <w:t xml:space="preserve"> 5:00pm,</w:t>
                            </w:r>
                            <w:r w:rsidR="00D11599">
                              <w:rPr>
                                <w:b/>
                                <w:lang w:val="en-US"/>
                              </w:rPr>
                              <w:t xml:space="preserve"> </w:t>
                            </w:r>
                            <w:r w:rsidR="00BC50FA">
                              <w:rPr>
                                <w:b/>
                                <w:lang w:val="en-US"/>
                              </w:rPr>
                              <w:t>30</w:t>
                            </w:r>
                            <w:r w:rsidR="00D009A0">
                              <w:rPr>
                                <w:b/>
                                <w:lang w:val="en-US"/>
                              </w:rPr>
                              <w:t xml:space="preserve"> August 2020</w:t>
                            </w:r>
                            <w:r w:rsidRPr="00193771">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7" w:history="1">
                              <w:r w:rsidR="00D11599" w:rsidRPr="00E32A8F">
                                <w:rPr>
                                  <w:rStyle w:val="Hyperlink"/>
                                  <w:rFonts w:ascii="Arial" w:hAnsi="Arial" w:cs="Arial"/>
                                  <w:bCs/>
                                </w:rPr>
                                <w:t>ahcklrecruit@dfat.gov.au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B3F5A9" id="_x0000_t202" coordsize="21600,21600" o:spt="202" path="m,l,21600r21600,l21600,xe">
                <v:stroke joinstyle="miter"/>
                <v:path gradientshapeok="t" o:connecttype="rect"/>
              </v:shapetype>
              <v:shape id="Text Box 2" o:spid="_x0000_s1026" type="#_x0000_t202" style="position:absolute;margin-left:0;margin-top:0;width:511.45pt;height:157.4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by</w:t>
                      </w:r>
                      <w:r w:rsidR="00EB06C0">
                        <w:rPr>
                          <w:b/>
                          <w:lang w:val="en-US"/>
                        </w:rPr>
                        <w:t xml:space="preserve"> 5:00pm,</w:t>
                      </w:r>
                      <w:r w:rsidR="00D11599">
                        <w:rPr>
                          <w:b/>
                          <w:lang w:val="en-US"/>
                        </w:rPr>
                        <w:t xml:space="preserve"> </w:t>
                      </w:r>
                      <w:r w:rsidR="00BC50FA">
                        <w:rPr>
                          <w:b/>
                          <w:lang w:val="en-US"/>
                        </w:rPr>
                        <w:t>30</w:t>
                      </w:r>
                      <w:r w:rsidR="00D009A0">
                        <w:rPr>
                          <w:b/>
                          <w:lang w:val="en-US"/>
                        </w:rPr>
                        <w:t xml:space="preserve"> August 2020</w:t>
                      </w:r>
                      <w:r w:rsidRPr="00193771">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8" w:history="1">
                        <w:r w:rsidR="00D11599" w:rsidRPr="00E32A8F">
                          <w:rPr>
                            <w:rStyle w:val="Hyperlink"/>
                            <w:rFonts w:ascii="Arial" w:hAnsi="Arial" w:cs="Arial"/>
                            <w:bCs/>
                          </w:rPr>
                          <w:t>ahcklrecruit@dfat.gov.au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33670F" w:rsidRDefault="0033670F" w:rsidP="004A58EC">
      <w:pPr>
        <w:rPr>
          <w:b/>
          <w:bCs/>
          <w:color w:val="000080"/>
          <w:sz w:val="20"/>
          <w:szCs w:val="20"/>
        </w:rPr>
      </w:pP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rsidR="004A58EC" w:rsidRPr="00E250D7" w:rsidRDefault="004A58EC" w:rsidP="004A58EC">
      <w:pPr>
        <w:rPr>
          <w:sz w:val="4"/>
          <w:szCs w:val="4"/>
        </w:rPr>
      </w:pPr>
    </w:p>
    <w:p w:rsidR="004A58EC" w:rsidRPr="00E250D7" w:rsidRDefault="004A58EC" w:rsidP="004A58EC">
      <w:pPr>
        <w:pStyle w:val="BodyText"/>
        <w:autoSpaceDE w:val="0"/>
        <w:autoSpaceDN w:val="0"/>
        <w:adjustRightInd w:val="0"/>
        <w:rPr>
          <w:b/>
          <w:bCs/>
          <w:sz w:val="20"/>
          <w:szCs w:val="20"/>
        </w:rPr>
      </w:pPr>
      <w:r w:rsidRPr="00E250D7">
        <w:rPr>
          <w:b/>
          <w:bCs/>
          <w:sz w:val="20"/>
          <w:szCs w:val="20"/>
        </w:rPr>
        <w:t>1. Personal Particulars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4A58EC" w:rsidRPr="00E250D7" w:rsidTr="00A072A4">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rPr>
                <w:i w:val="0"/>
                <w:iCs w:val="0"/>
                <w:sz w:val="16"/>
                <w:szCs w:val="16"/>
              </w:rPr>
            </w:pPr>
            <w:r w:rsidRPr="00E250D7">
              <w:rPr>
                <w:i w:val="0"/>
                <w:iCs w:val="0"/>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Surname</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Given Name(s)</w:t>
            </w:r>
          </w:p>
        </w:tc>
      </w:tr>
      <w:tr w:rsidR="004A58EC" w:rsidRPr="00E250D7" w:rsidTr="00A072A4">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r w:rsidRPr="00E250D7">
              <w:rPr>
                <w:sz w:val="20"/>
                <w:szCs w:val="20"/>
              </w:rPr>
              <w:t xml:space="preserve"> </w:t>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autoSpaceDE w:val="0"/>
        <w:autoSpaceDN w:val="0"/>
        <w:adjustRightInd w:val="0"/>
        <w:rPr>
          <w:b/>
          <w:bCs/>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A58EC" w:rsidTr="00D11599">
        <w:tc>
          <w:tcPr>
            <w:tcW w:w="10632" w:type="dxa"/>
            <w:shd w:val="clear" w:color="auto" w:fill="auto"/>
          </w:tcPr>
          <w:p w:rsidR="004A58EC" w:rsidRPr="001C7C3C" w:rsidRDefault="004A58EC" w:rsidP="00A072A4">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tc>
      </w:tr>
    </w:tbl>
    <w:p w:rsidR="004A58EC" w:rsidRDefault="004A58EC" w:rsidP="004A58EC">
      <w:pPr>
        <w:autoSpaceDE w:val="0"/>
        <w:autoSpaceDN w:val="0"/>
        <w:adjustRightInd w:val="0"/>
        <w:rPr>
          <w:b/>
          <w:bCs/>
          <w:sz w:val="20"/>
          <w:szCs w:val="20"/>
        </w:rPr>
      </w:pPr>
    </w:p>
    <w:p w:rsidR="004A58EC" w:rsidRPr="00E250D7" w:rsidRDefault="004A58EC" w:rsidP="004A58EC">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4A58EC" w:rsidRPr="00E250D7" w:rsidTr="00A072A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Position</w:t>
            </w:r>
          </w:p>
        </w:tc>
      </w:tr>
      <w:tr w:rsidR="004A58EC" w:rsidRPr="00E250D7" w:rsidTr="00A072A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4A58EC" w:rsidRPr="00E250D7" w:rsidRDefault="004A58EC" w:rsidP="00A072A4">
            <w:pPr>
              <w:autoSpaceDE w:val="0"/>
              <w:autoSpaceDN w:val="0"/>
              <w:adjustRightInd w:val="0"/>
              <w:rPr>
                <w:sz w:val="20"/>
                <w:szCs w:val="20"/>
              </w:rPr>
            </w:pPr>
          </w:p>
        </w:tc>
      </w:tr>
      <w:tr w:rsidR="004A58EC" w:rsidRPr="00E250D7" w:rsidTr="00A072A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4A58EC" w:rsidRPr="00E250D7" w:rsidTr="00A072A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b/>
          <w:bCs/>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4A58EC" w:rsidRPr="00E250D7" w:rsidTr="00A072A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A58EC" w:rsidRPr="00E250D7" w:rsidRDefault="004A58EC" w:rsidP="00A072A4">
            <w:pPr>
              <w:autoSpaceDE w:val="0"/>
              <w:autoSpaceDN w:val="0"/>
              <w:adjustRightInd w:val="0"/>
              <w:rPr>
                <w:b/>
                <w:bCs/>
                <w:sz w:val="16"/>
                <w:szCs w:val="16"/>
              </w:rPr>
            </w:pPr>
            <w:r w:rsidRPr="00E250D7">
              <w:rPr>
                <w:b/>
                <w:bCs/>
                <w:sz w:val="16"/>
                <w:szCs w:val="16"/>
              </w:rPr>
              <w:t>Level</w:t>
            </w:r>
          </w:p>
        </w:tc>
      </w:tr>
      <w:tr w:rsidR="004A58EC" w:rsidRPr="00E250D7" w:rsidTr="00A072A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4A58EC" w:rsidRPr="00E250D7" w:rsidTr="00A072A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Institution</w:t>
            </w:r>
          </w:p>
        </w:tc>
      </w:tr>
      <w:tr w:rsidR="004A58EC" w:rsidRPr="00E250D7" w:rsidTr="00A072A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4A58EC" w:rsidRPr="00E250D7" w:rsidTr="00A072A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4A58EC" w:rsidRPr="00E250D7" w:rsidTr="00A072A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4A58EC" w:rsidRPr="00E250D7" w:rsidTr="00A072A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rPr>
          <w:sz w:val="4"/>
          <w:szCs w:val="4"/>
        </w:rPr>
      </w:pPr>
    </w:p>
    <w:p w:rsidR="004A58EC" w:rsidRPr="00377C78" w:rsidRDefault="001F382E" w:rsidP="004A58EC">
      <w:pPr>
        <w:ind w:right="515"/>
        <w:rPr>
          <w:lang w:val="en-US"/>
        </w:rPr>
      </w:pPr>
      <w:r>
        <w:rPr>
          <w:lang w:val="en-US"/>
        </w:rPr>
        <w:br w:type="page"/>
      </w:r>
    </w:p>
    <w:p w:rsidR="004A58EC" w:rsidRPr="00473AE4" w:rsidRDefault="0033670F" w:rsidP="0033670F">
      <w:pPr>
        <w:pBdr>
          <w:top w:val="single" w:sz="4" w:space="1" w:color="auto"/>
          <w:left w:val="single" w:sz="4" w:space="4" w:color="auto"/>
          <w:bottom w:val="single" w:sz="4" w:space="1" w:color="auto"/>
          <w:right w:val="single" w:sz="4" w:space="4" w:color="auto"/>
        </w:pBdr>
        <w:shd w:val="clear" w:color="auto" w:fill="0070C0"/>
        <w:rPr>
          <w:b/>
          <w:bCs/>
          <w:color w:val="FFFFFF"/>
        </w:rPr>
      </w:pPr>
      <w:r>
        <w:rPr>
          <w:b/>
          <w:bCs/>
          <w:color w:val="FFFFFF"/>
        </w:rPr>
        <w:lastRenderedPageBreak/>
        <w:t>ATTACHMENT B</w:t>
      </w:r>
      <w:r w:rsidR="004A58EC" w:rsidRPr="00473AE4">
        <w:rPr>
          <w:b/>
          <w:bCs/>
          <w:color w:val="FFFFFF"/>
        </w:rPr>
        <w:tab/>
      </w:r>
      <w:r w:rsidR="004A58EC" w:rsidRPr="00473AE4">
        <w:rPr>
          <w:b/>
          <w:bCs/>
          <w:color w:val="FFFFFF"/>
        </w:rPr>
        <w:tab/>
      </w:r>
      <w:r>
        <w:rPr>
          <w:b/>
          <w:bCs/>
          <w:color w:val="FFFFFF"/>
        </w:rPr>
        <w:t xml:space="preserve">                  </w:t>
      </w:r>
      <w:r w:rsidR="004A58EC"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562"/>
        <w:gridCol w:w="262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582"/>
        <w:gridCol w:w="2602"/>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Default="004A58EC" w:rsidP="004A58EC">
      <w:pPr>
        <w:ind w:left="180" w:right="515"/>
        <w:rPr>
          <w:lang w:val="en-US"/>
        </w:rPr>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33670F">
        <w:rPr>
          <w:b/>
          <w:bCs/>
          <w:color w:val="FFFFFF"/>
        </w:rPr>
        <w:t>C</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 xml:space="preserve">Were you born in </w:t>
      </w:r>
      <w:smartTag w:uri="urn:schemas-microsoft-com:office:smarttags" w:element="place">
        <w:smartTag w:uri="urn:schemas-microsoft-com:office:smarttags" w:element="country-region">
          <w:r w:rsidRPr="00E250D7">
            <w:rPr>
              <w:b/>
              <w:bCs/>
              <w:lang w:val="en-US"/>
            </w:rPr>
            <w:t>Australia</w:t>
          </w:r>
        </w:smartTag>
      </w:smartTag>
      <w:r w:rsidRPr="00E250D7">
        <w:rPr>
          <w:b/>
          <w:bCs/>
          <w:lang w:val="en-US"/>
        </w:rPr>
        <w:t>:</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4A58EC" w:rsidRPr="0088426D" w:rsidRDefault="004A58EC" w:rsidP="004A58EC"/>
    <w:p w:rsidR="004A58EC" w:rsidRDefault="004A58EC" w:rsidP="004A58EC">
      <w:pPr>
        <w:ind w:left="180" w:right="515"/>
      </w:pPr>
    </w:p>
    <w:sectPr w:rsidR="004A58EC" w:rsidSect="00157231">
      <w:pgSz w:w="11906" w:h="16838"/>
      <w:pgMar w:top="1440" w:right="748"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269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6455EC"/>
    <w:multiLevelType w:val="hybridMultilevel"/>
    <w:tmpl w:val="235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26"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 w:numId="10">
    <w:abstractNumId w:val="15"/>
  </w:num>
  <w:num w:numId="11">
    <w:abstractNumId w:val="25"/>
  </w:num>
  <w:num w:numId="12">
    <w:abstractNumId w:val="27"/>
  </w:num>
  <w:num w:numId="13">
    <w:abstractNumId w:val="9"/>
  </w:num>
  <w:num w:numId="14">
    <w:abstractNumId w:val="21"/>
  </w:num>
  <w:num w:numId="15">
    <w:abstractNumId w:val="18"/>
  </w:num>
  <w:num w:numId="16">
    <w:abstractNumId w:val="10"/>
  </w:num>
  <w:num w:numId="17">
    <w:abstractNumId w:val="17"/>
  </w:num>
  <w:num w:numId="18">
    <w:abstractNumId w:val="23"/>
  </w:num>
  <w:num w:numId="19">
    <w:abstractNumId w:val="13"/>
  </w:num>
  <w:num w:numId="20">
    <w:abstractNumId w:val="3"/>
  </w:num>
  <w:num w:numId="21">
    <w:abstractNumId w:val="11"/>
  </w:num>
  <w:num w:numId="22">
    <w:abstractNumId w:val="16"/>
  </w:num>
  <w:num w:numId="23">
    <w:abstractNumId w:val="24"/>
  </w:num>
  <w:num w:numId="24">
    <w:abstractNumId w:val="8"/>
  </w:num>
  <w:num w:numId="25">
    <w:abstractNumId w:val="12"/>
  </w:num>
  <w:num w:numId="26">
    <w:abstractNumId w:val="19"/>
  </w:num>
  <w:num w:numId="27">
    <w:abstractNumId w:val="20"/>
  </w:num>
  <w:num w:numId="28">
    <w:abstractNumId w:val="14"/>
  </w:num>
  <w:num w:numId="29">
    <w:abstractNumId w:val="5"/>
  </w:num>
  <w:num w:numId="30">
    <w:abstractNumId w:val="7"/>
  </w:num>
  <w:num w:numId="31">
    <w:abstractNumId w:val="6"/>
  </w:num>
  <w:num w:numId="32">
    <w:abstractNumId w:val="7"/>
  </w:num>
  <w:num w:numId="33">
    <w:abstractNumId w:val="6"/>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B"/>
    <w:rsid w:val="00004CB0"/>
    <w:rsid w:val="00012219"/>
    <w:rsid w:val="00047754"/>
    <w:rsid w:val="00075379"/>
    <w:rsid w:val="000B2C9D"/>
    <w:rsid w:val="000F5C5F"/>
    <w:rsid w:val="001324AF"/>
    <w:rsid w:val="00153FDE"/>
    <w:rsid w:val="00157231"/>
    <w:rsid w:val="00172396"/>
    <w:rsid w:val="00193771"/>
    <w:rsid w:val="001943F7"/>
    <w:rsid w:val="00196B05"/>
    <w:rsid w:val="001B0B6E"/>
    <w:rsid w:val="001C7C3C"/>
    <w:rsid w:val="001F382E"/>
    <w:rsid w:val="001F73B0"/>
    <w:rsid w:val="0020689D"/>
    <w:rsid w:val="002170E2"/>
    <w:rsid w:val="002969EB"/>
    <w:rsid w:val="002A37B6"/>
    <w:rsid w:val="002B78AC"/>
    <w:rsid w:val="00307FBF"/>
    <w:rsid w:val="003179AA"/>
    <w:rsid w:val="00335003"/>
    <w:rsid w:val="00335269"/>
    <w:rsid w:val="0033670F"/>
    <w:rsid w:val="00344B98"/>
    <w:rsid w:val="003652AF"/>
    <w:rsid w:val="00375C40"/>
    <w:rsid w:val="003906A8"/>
    <w:rsid w:val="003A71CB"/>
    <w:rsid w:val="003D5AA9"/>
    <w:rsid w:val="003D701F"/>
    <w:rsid w:val="003E1EFF"/>
    <w:rsid w:val="003E50BA"/>
    <w:rsid w:val="003F1618"/>
    <w:rsid w:val="003F26C6"/>
    <w:rsid w:val="004212CC"/>
    <w:rsid w:val="00435358"/>
    <w:rsid w:val="00455544"/>
    <w:rsid w:val="00481B16"/>
    <w:rsid w:val="00485BDD"/>
    <w:rsid w:val="004A58EC"/>
    <w:rsid w:val="004B0FD4"/>
    <w:rsid w:val="004B4941"/>
    <w:rsid w:val="004C2265"/>
    <w:rsid w:val="004D02E0"/>
    <w:rsid w:val="004D3B54"/>
    <w:rsid w:val="00512DEE"/>
    <w:rsid w:val="0055593F"/>
    <w:rsid w:val="005A07AC"/>
    <w:rsid w:val="005A3582"/>
    <w:rsid w:val="005B426B"/>
    <w:rsid w:val="005D3CD9"/>
    <w:rsid w:val="005E6619"/>
    <w:rsid w:val="006222BD"/>
    <w:rsid w:val="006617A6"/>
    <w:rsid w:val="00664E42"/>
    <w:rsid w:val="00670E76"/>
    <w:rsid w:val="006B25FD"/>
    <w:rsid w:val="006B3DEB"/>
    <w:rsid w:val="006B5C27"/>
    <w:rsid w:val="006D646D"/>
    <w:rsid w:val="00725BD3"/>
    <w:rsid w:val="00745446"/>
    <w:rsid w:val="007477AE"/>
    <w:rsid w:val="00774D6D"/>
    <w:rsid w:val="007D4FA0"/>
    <w:rsid w:val="007F15B5"/>
    <w:rsid w:val="00805965"/>
    <w:rsid w:val="008160A0"/>
    <w:rsid w:val="008578C0"/>
    <w:rsid w:val="00897A79"/>
    <w:rsid w:val="008D7DEC"/>
    <w:rsid w:val="008E6700"/>
    <w:rsid w:val="008F5CEC"/>
    <w:rsid w:val="009019B2"/>
    <w:rsid w:val="00953FD7"/>
    <w:rsid w:val="00961C2E"/>
    <w:rsid w:val="009649ED"/>
    <w:rsid w:val="00964E40"/>
    <w:rsid w:val="00995964"/>
    <w:rsid w:val="009B2FF8"/>
    <w:rsid w:val="009C0010"/>
    <w:rsid w:val="009D35FC"/>
    <w:rsid w:val="009E4AC5"/>
    <w:rsid w:val="009F3B80"/>
    <w:rsid w:val="00A072A4"/>
    <w:rsid w:val="00A15681"/>
    <w:rsid w:val="00A43F32"/>
    <w:rsid w:val="00A567F7"/>
    <w:rsid w:val="00A63A6B"/>
    <w:rsid w:val="00A820E9"/>
    <w:rsid w:val="00A95D6E"/>
    <w:rsid w:val="00AC0200"/>
    <w:rsid w:val="00AE7A50"/>
    <w:rsid w:val="00B35C71"/>
    <w:rsid w:val="00B4476E"/>
    <w:rsid w:val="00B51E8F"/>
    <w:rsid w:val="00B776CE"/>
    <w:rsid w:val="00B810C6"/>
    <w:rsid w:val="00B91490"/>
    <w:rsid w:val="00B91BB8"/>
    <w:rsid w:val="00B956C6"/>
    <w:rsid w:val="00B95E94"/>
    <w:rsid w:val="00BB6359"/>
    <w:rsid w:val="00BC38AC"/>
    <w:rsid w:val="00BC50FA"/>
    <w:rsid w:val="00C41DDD"/>
    <w:rsid w:val="00C4279E"/>
    <w:rsid w:val="00C433BF"/>
    <w:rsid w:val="00C4737D"/>
    <w:rsid w:val="00C5084D"/>
    <w:rsid w:val="00C52B10"/>
    <w:rsid w:val="00C73A64"/>
    <w:rsid w:val="00CA5B1D"/>
    <w:rsid w:val="00CB66A5"/>
    <w:rsid w:val="00CC6388"/>
    <w:rsid w:val="00CC6888"/>
    <w:rsid w:val="00CE525E"/>
    <w:rsid w:val="00CF0CCD"/>
    <w:rsid w:val="00D009A0"/>
    <w:rsid w:val="00D11599"/>
    <w:rsid w:val="00D15D4B"/>
    <w:rsid w:val="00D327FF"/>
    <w:rsid w:val="00D3418E"/>
    <w:rsid w:val="00D53695"/>
    <w:rsid w:val="00D54057"/>
    <w:rsid w:val="00DC5F4E"/>
    <w:rsid w:val="00E16D20"/>
    <w:rsid w:val="00E40173"/>
    <w:rsid w:val="00E40746"/>
    <w:rsid w:val="00EB06C0"/>
    <w:rsid w:val="00EC3850"/>
    <w:rsid w:val="00EC4320"/>
    <w:rsid w:val="00EE215D"/>
    <w:rsid w:val="00EE323E"/>
    <w:rsid w:val="00EF1C0B"/>
    <w:rsid w:val="00EF7D3A"/>
    <w:rsid w:val="00F056DA"/>
    <w:rsid w:val="00F14C31"/>
    <w:rsid w:val="00F176AE"/>
    <w:rsid w:val="00F2063E"/>
    <w:rsid w:val="00F922CB"/>
    <w:rsid w:val="00F939FB"/>
    <w:rsid w:val="00FB1B13"/>
    <w:rsid w:val="00FD6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44CA92D"/>
  <w15:docId w15:val="{80459F3B-41B8-4DCD-A1BC-BDA9478F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194">
      <w:bodyDiv w:val="1"/>
      <w:marLeft w:val="0"/>
      <w:marRight w:val="0"/>
      <w:marTop w:val="0"/>
      <w:marBottom w:val="0"/>
      <w:divBdr>
        <w:top w:val="none" w:sz="0" w:space="0" w:color="auto"/>
        <w:left w:val="none" w:sz="0" w:space="0" w:color="auto"/>
        <w:bottom w:val="none" w:sz="0" w:space="0" w:color="auto"/>
        <w:right w:val="none" w:sz="0" w:space="0" w:color="auto"/>
      </w:divBdr>
    </w:div>
    <w:div w:id="150299227">
      <w:bodyDiv w:val="1"/>
      <w:marLeft w:val="0"/>
      <w:marRight w:val="0"/>
      <w:marTop w:val="0"/>
      <w:marBottom w:val="0"/>
      <w:divBdr>
        <w:top w:val="none" w:sz="0" w:space="0" w:color="auto"/>
        <w:left w:val="none" w:sz="0" w:space="0" w:color="auto"/>
        <w:bottom w:val="none" w:sz="0" w:space="0" w:color="auto"/>
        <w:right w:val="none" w:sz="0" w:space="0" w:color="auto"/>
      </w:divBdr>
    </w:div>
    <w:div w:id="400323942">
      <w:bodyDiv w:val="1"/>
      <w:marLeft w:val="0"/>
      <w:marRight w:val="0"/>
      <w:marTop w:val="0"/>
      <w:marBottom w:val="0"/>
      <w:divBdr>
        <w:top w:val="none" w:sz="0" w:space="0" w:color="auto"/>
        <w:left w:val="none" w:sz="0" w:space="0" w:color="auto"/>
        <w:bottom w:val="none" w:sz="0" w:space="0" w:color="auto"/>
        <w:right w:val="none" w:sz="0" w:space="0" w:color="auto"/>
      </w:divBdr>
    </w:div>
    <w:div w:id="1453282048">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018652333">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recruit@dfat.gov.au" TargetMode="External"/><Relationship Id="rId3" Type="http://schemas.openxmlformats.org/officeDocument/2006/relationships/styles" Target="styles.xml"/><Relationship Id="rId7" Type="http://schemas.openxmlformats.org/officeDocument/2006/relationships/hyperlink" Target="mailto:ahcklrecruit@dfat.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A249-32CE-4F05-9233-355A1339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1402</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10600</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Kamal Belaedom</cp:lastModifiedBy>
  <cp:revision>3</cp:revision>
  <cp:lastPrinted>2015-09-25T03:12:00Z</cp:lastPrinted>
  <dcterms:created xsi:type="dcterms:W3CDTF">2020-07-24T05:57:00Z</dcterms:created>
  <dcterms:modified xsi:type="dcterms:W3CDTF">2020-07-24T07:12:00Z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3d931b94-2b41-410e-8c3c-dad9af2e8e2c</vt:lpwstr>
  </property>
  <property fmtid="{D5CDD505-2E9C-101B-9397-08002B2CF9AE}" pid="3" name="SEC">
    <vt:lpwstr>OFFICIAL</vt:lpwstr>
  </property>
  <property fmtid="{D5CDD505-2E9C-101B-9397-08002B2CF9AE}" pid="4" name="DLM">
    <vt:lpwstr>No DLM</vt:lpwstr>
  </property>
</Properties>
</file>